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EF" w:rsidRDefault="004C4213">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 xml:space="preserve">                                                                                         </w:t>
      </w:r>
    </w:p>
    <w:p w:rsidR="00744DEF" w:rsidRDefault="00D82F29">
      <w:pPr>
        <w:spacing w:before="120" w:after="120"/>
        <w:ind w:left="0" w:hanging="2"/>
        <w:jc w:val="center"/>
      </w:pPr>
      <w:r>
        <w:rPr>
          <w:b/>
        </w:rPr>
        <w:t xml:space="preserve">ANNEX IV</w:t>
      </w:r>
      <w:r>
        <w:rPr>
          <w:b/>
        </w:rPr>
        <w:t xml:space="preserve">  </w:t>
      </w:r>
    </w:p>
    <w:p w:rsidR="00744DEF" w:rsidRDefault="00D82F29">
      <w:pPr>
        <w:ind w:left="0" w:hanging="2"/>
        <w:jc w:val="both"/>
        <w:rPr>
          <w:u w:val="single"/>
        </w:rPr>
      </w:pPr>
      <w:r>
        <w:rPr>
          <w:b/>
        </w:rPr>
        <w:t xml:space="preserve">Affidavit II</w:t>
      </w:r>
    </w:p>
    <w:p w:rsidR="00744DEF" w:rsidRDefault="004C4213">
      <w:pPr>
        <w:spacing w:before="120" w:after="120"/>
        <w:ind w:left="0" w:hanging="2"/>
        <w:jc w:val="both"/>
        <w:rPr>
          <w:u w:val="single"/>
        </w:rPr>
      </w:pPr>
      <w:r>
        <w:rPr>
          <w:u w:val="single"/>
        </w:rPr>
        <w:t xml:space="preserve">APPLICANT’S DETAILS</w:t>
      </w:r>
      <w:r>
        <w:rPr>
          <w:u w:val="single"/>
        </w:rPr>
        <w:t xml:space="preserve"> </w:t>
      </w:r>
    </w:p>
    <w:p w:rsidR="00744DEF" w:rsidRDefault="004C4213">
      <w:pPr>
        <w:ind w:left="0" w:hanging="2"/>
      </w:pPr>
      <w:r>
        <w:t xml:space="preserve">Name and surnames/Name or business name:</w:t>
      </w:r>
      <w:r>
        <w:t xml:space="preserve"> </w:t>
      </w:r>
      <w:r>
        <w:t xml:space="preserve">.................................................. .................. with DNI/CIF ............................ ..Representing:</w:t>
      </w:r>
      <w:r>
        <w:t xml:space="preserve"> </w:t>
      </w:r>
      <w:r>
        <w:t xml:space="preserve">.....................................................</w:t>
      </w:r>
      <w:r>
        <w:t xml:space="preserve">  </w:t>
      </w:r>
    </w:p>
    <w:p w:rsidR="00744DEF" w:rsidRDefault="00744DEF">
      <w:pPr>
        <w:keepNext/>
        <w:tabs>
          <w:tab w:val="left" w:pos="708"/>
        </w:tabs>
        <w:spacing w:before="120" w:after="120"/>
        <w:ind w:left="0" w:hanging="2"/>
        <w:jc w:val="both"/>
      </w:pPr>
    </w:p>
    <w:p w:rsidR="00744DEF" w:rsidRDefault="00DD7751">
      <w:pPr>
        <w:keepNext/>
        <w:tabs>
          <w:tab w:val="left" w:pos="708"/>
        </w:tabs>
        <w:spacing w:before="120" w:after="120"/>
        <w:ind w:left="0" w:hanging="2"/>
        <w:jc w:val="both"/>
      </w:pPr>
      <w:r>
        <w:t xml:space="preserve">Under my responsibility, so that the body granting the subsidy is aware,</w:t>
      </w:r>
    </w:p>
    <w:p w:rsidR="00744DEF" w:rsidRDefault="004C4213">
      <w:pPr>
        <w:keepNext/>
        <w:tabs>
          <w:tab w:val="left" w:pos="708"/>
        </w:tabs>
        <w:spacing w:before="120" w:after="120"/>
        <w:ind w:left="0" w:hanging="2"/>
        <w:jc w:val="both"/>
      </w:pPr>
      <w:r>
        <w:rPr>
          <w:b/>
          <w:i/>
        </w:rPr>
        <w:t xml:space="preserve">I DECLARE</w:t>
      </w:r>
    </w:p>
    <w:p w:rsidR="00744DEF" w:rsidRDefault="004C4213">
      <w:pPr>
        <w:keepNext/>
        <w:tabs>
          <w:tab w:val="left" w:pos="708"/>
        </w:tabs>
        <w:spacing w:before="120" w:after="120"/>
        <w:ind w:left="0" w:hanging="2"/>
        <w:jc w:val="both"/>
        <w:rPr>
          <w:color w:val="231F20"/>
        </w:rPr>
      </w:pPr>
      <w:r>
        <w:t xml:space="preserve">☐ </w:t>
      </w:r>
      <w:r>
        <w:rPr>
          <w:color w:val="231F20"/>
        </w:rPr>
        <w:t xml:space="preserve">To comply with all the requirements of the call for applications, the documentation of which will have to be provided in the phase "2nd Documentation".</w:t>
      </w:r>
    </w:p>
    <w:p w:rsidR="00744DEF" w:rsidRDefault="004C4213">
      <w:pPr>
        <w:pBdr>
          <w:top w:val="nil"/>
          <w:left w:val="nil"/>
          <w:bottom w:val="nil"/>
          <w:right w:val="nil"/>
          <w:between w:val="nil"/>
        </w:pBdr>
        <w:spacing w:after="240" w:line="240" w:lineRule="auto"/>
        <w:ind w:left="0" w:hanging="2"/>
        <w:jc w:val="both"/>
        <w:rPr>
          <w:color w:val="231F20"/>
        </w:rPr>
      </w:pPr>
      <w:r>
        <w:rPr>
          <w:color w:val="000000"/>
        </w:rPr>
        <w:t xml:space="preserve">☐</w:t>
      </w:r>
      <w:r>
        <w:t xml:space="preserve"> </w:t>
      </w:r>
      <w:r>
        <w:rPr>
          <w:color w:val="231F20"/>
        </w:rPr>
        <w:t xml:space="preserve">That I have not been granted de minimis aid amounting to more than €200,000 in the last three fiscal years (2021, 2020, 2019).</w:t>
      </w:r>
    </w:p>
    <w:p w:rsidR="00744DEF" w:rsidRDefault="004C4213">
      <w:pPr>
        <w:pBdr>
          <w:top w:val="nil"/>
          <w:left w:val="nil"/>
          <w:bottom w:val="nil"/>
          <w:right w:val="nil"/>
          <w:between w:val="nil"/>
        </w:pBdr>
        <w:spacing w:after="240" w:line="240" w:lineRule="auto"/>
        <w:ind w:left="0" w:hanging="2"/>
        <w:jc w:val="both"/>
        <w:rPr>
          <w:color w:val="231F20"/>
        </w:rPr>
      </w:pPr>
      <w:r>
        <w:rPr>
          <w:color w:val="000000"/>
        </w:rPr>
        <w:t xml:space="preserve">☐</w:t>
      </w:r>
      <w:r>
        <w:t xml:space="preserve"> </w:t>
      </w:r>
      <w:r>
        <w:rPr>
          <w:color w:val="231F20"/>
        </w:rPr>
        <w:t xml:space="preserve">The aid and subsidies applied for and/or granted, indicating the amounts and the entities granting the subsidy, or the obtaining of other resources to finance them.</w:t>
      </w:r>
    </w:p>
    <w:p w:rsidR="00744DEF" w:rsidRDefault="004C4213">
      <w:pPr>
        <w:pBdr>
          <w:top w:val="nil"/>
          <w:left w:val="nil"/>
          <w:bottom w:val="nil"/>
          <w:right w:val="nil"/>
          <w:between w:val="nil"/>
        </w:pBdr>
        <w:spacing w:after="240" w:line="240" w:lineRule="auto"/>
        <w:ind w:left="0" w:hanging="2"/>
        <w:jc w:val="both"/>
        <w:rPr>
          <w:color w:val="231F20"/>
        </w:rPr>
      </w:pPr>
      <w:r>
        <w:rPr>
          <w:color w:val="000000"/>
        </w:rPr>
        <w:t xml:space="preserve">☐</w:t>
      </w:r>
      <w:r>
        <w:t xml:space="preserve"> </w:t>
      </w:r>
      <w:r>
        <w:rPr>
          <w:color w:val="231F20"/>
        </w:rPr>
        <w:t xml:space="preserve">To comply, as far as possible, with the measures included in the guidelines (saving paper through digitalisation, use of long-lasting materials, sharing of vehicles, use of energy-saving materials, etc.):</w:t>
      </w:r>
    </w:p>
    <w:p w:rsidR="00744DEF" w:rsidRDefault="00B3400E">
      <w:pPr>
        <w:pBdr>
          <w:top w:val="nil"/>
          <w:left w:val="nil"/>
          <w:bottom w:val="nil"/>
          <w:right w:val="nil"/>
          <w:between w:val="nil"/>
        </w:pBdr>
        <w:spacing w:after="240" w:line="240" w:lineRule="auto"/>
        <w:ind w:left="0" w:hanging="2"/>
        <w:jc w:val="both"/>
        <w:rPr>
          <w:color w:val="000000"/>
        </w:rPr>
      </w:pPr>
      <w:hyperlink r:id="rId8">
        <w:r>
          <w:rPr>
            <w:color w:val="1155CC"/>
            <w:u w:val="single"/>
          </w:rPr>
          <w:t xml:space="preserve">http://mallorcafilmcommission.net/bones-practiques-i-green-shooting/</w:t>
        </w:r>
      </w:hyperlink>
    </w:p>
    <w:p w:rsidR="00744DEF" w:rsidRDefault="00744DEF">
      <w:pPr>
        <w:keepNext/>
        <w:tabs>
          <w:tab w:val="left" w:pos="708"/>
        </w:tabs>
        <w:spacing w:before="120" w:after="120"/>
        <w:ind w:left="0" w:hanging="2"/>
        <w:jc w:val="both"/>
        <w:rPr>
          <w:color w:val="231F20"/>
        </w:rPr>
      </w:pPr>
    </w:p>
    <w:p w:rsidR="00744DEF" w:rsidRDefault="004C4213">
      <w:pPr>
        <w:ind w:left="0" w:hanging="2"/>
        <w:jc w:val="both"/>
      </w:pPr>
      <w:r>
        <w:t xml:space="preserve">☐ That I do not incur any of the prohibitions established in article 13 of Law 38/2003 of 17 November, General Subsidies, and in article 8 of the General Subsidies Ordinance of the Island Council of Mallorca, in particular:</w:t>
      </w:r>
    </w:p>
    <w:p w:rsidR="00744DEF" w:rsidRDefault="004C4213">
      <w:pPr>
        <w:ind w:left="0" w:hanging="2"/>
        <w:jc w:val="both"/>
      </w:pPr>
      <w:r>
        <w:t xml:space="preserve"> </w:t>
      </w:r>
    </w:p>
    <w:p w:rsidR="00744DEF" w:rsidRDefault="004C4213">
      <w:pPr>
        <w:ind w:left="0" w:hanging="2"/>
        <w:jc w:val="both"/>
      </w:pPr>
      <w:r>
        <w:t xml:space="preserve">a) having been sentenced, by final judgement, to the penalty of losing the possibility to receive subsidies or public aid.</w:t>
      </w:r>
    </w:p>
    <w:p w:rsidR="00744DEF" w:rsidRDefault="00744DEF">
      <w:pPr>
        <w:ind w:left="0" w:hanging="2"/>
        <w:jc w:val="both"/>
      </w:pPr>
    </w:p>
    <w:p w:rsidR="00744DEF" w:rsidRDefault="004C4213">
      <w:pPr>
        <w:ind w:left="0" w:hanging="2"/>
        <w:jc w:val="both"/>
      </w:pPr>
      <w:r>
        <w:t xml:space="preserve">b) Having applied for voluntary insolvency proceedings, have been declared insolvent in any proceedings, have been declared bankrupt (unless an agreement has become effective), have been subject to judicial intervention or have been disqualified in accordance with Law 22/2003, of 9 July, on insolvency proceedings, without having completed the period of disqualification established in the insolvency qualification ruling.</w:t>
      </w:r>
    </w:p>
    <w:p w:rsidR="00744DEF" w:rsidRDefault="00744DEF">
      <w:pPr>
        <w:ind w:left="0" w:hanging="2"/>
        <w:jc w:val="both"/>
      </w:pPr>
    </w:p>
    <w:p w:rsidR="00744DEF" w:rsidRDefault="004C4213">
      <w:pPr>
        <w:ind w:left="0" w:hanging="2"/>
        <w:jc w:val="both"/>
      </w:pPr>
      <w:r>
        <w:t xml:space="preserve">c) Have given rise, for a cause of which you have been found responsible, to the final termination of any contract entered into with the administration.</w:t>
      </w:r>
      <w:r>
        <w:t xml:space="preserve"> </w:t>
      </w:r>
    </w:p>
    <w:p w:rsidR="00744DEF" w:rsidRDefault="00744DEF">
      <w:pPr>
        <w:ind w:left="0" w:hanging="2"/>
        <w:jc w:val="both"/>
      </w:pPr>
    </w:p>
    <w:p w:rsidR="00744DEF" w:rsidRDefault="004C4213">
      <w:pPr>
        <w:ind w:left="0" w:hanging="2"/>
        <w:jc w:val="both"/>
      </w:pPr>
      <w:r>
        <w:t xml:space="preserve">d) That the natural person, the directors of commercial companies or those who legally represent other legal persons are subject to any of the cases of Law 3/2015, of 30 March, regulating the exercise of senior positions in the General State Administration; of Law 2/1996, of 19 November, on conflicts of interest of the members of the Government of the Balearic Islands and of senior officials; of Law 53/1984, of 26 December 1984, on conflicts of interest of personnel in the service of the public administrations, or that they hold any of the elective offices regulated in Organic Law 5/1985, of 19 June 1985, on the general electoral system, under the terms established in these regulations or in the autonomous regulations governing these matters.</w:t>
      </w:r>
    </w:p>
    <w:p w:rsidR="00A703D1" w:rsidRDefault="00A703D1">
      <w:pPr>
        <w:ind w:left="0" w:hanging="2"/>
        <w:jc w:val="both"/>
      </w:pPr>
    </w:p>
    <w:p w:rsidR="00744DEF" w:rsidRDefault="004C4213">
      <w:pPr>
        <w:ind w:left="0" w:hanging="2"/>
        <w:jc w:val="both"/>
      </w:pPr>
      <w:r>
        <w:t xml:space="preserve">e) Not being up-to-date with tax obligations or before the State Administration's Social Security, as well as tax obligations before the Island Council of Mallorca and dependent autonomous agencies imposed by current provisions, in the manner determined in Royal Decree 887/2006 of 21 July, which approves Regulation of the General Subsidies Law 38/2003 of 17 November  (hereinafter RLGS).</w:t>
      </w:r>
    </w:p>
    <w:p w:rsidR="00744DEF" w:rsidRDefault="00744DEF">
      <w:pPr>
        <w:ind w:left="0" w:hanging="2"/>
        <w:jc w:val="both"/>
      </w:pPr>
    </w:p>
    <w:p w:rsidR="00744DEF" w:rsidRDefault="004C4213">
      <w:pPr>
        <w:ind w:left="0" w:hanging="2"/>
        <w:jc w:val="both"/>
      </w:pPr>
      <w:r>
        <w:t xml:space="preserve">f) having tax residence in a country or territory classified as a tax haven by the legislation in force.</w:t>
      </w:r>
    </w:p>
    <w:p w:rsidR="00744DEF" w:rsidRDefault="00744DEF">
      <w:pPr>
        <w:ind w:left="0" w:hanging="2"/>
        <w:jc w:val="both"/>
      </w:pPr>
    </w:p>
    <w:p w:rsidR="00744DEF" w:rsidRDefault="004C4213">
      <w:pPr>
        <w:ind w:left="0" w:hanging="2"/>
        <w:jc w:val="both"/>
      </w:pPr>
      <w:r>
        <w:t xml:space="preserve">g) Not being up-to-date with the payment of obligations for the refund of subsidies in the terms defined in the RLGS.</w:t>
      </w:r>
      <w:r>
        <w:t xml:space="preserve"> </w:t>
      </w:r>
    </w:p>
    <w:p w:rsidR="00744DEF" w:rsidRDefault="00744DEF">
      <w:pPr>
        <w:ind w:left="0" w:hanging="2"/>
        <w:jc w:val="both"/>
      </w:pPr>
    </w:p>
    <w:p w:rsidR="00744DEF" w:rsidRDefault="0075617F">
      <w:pPr>
        <w:ind w:left="0" w:hanging="2"/>
        <w:jc w:val="both"/>
      </w:pPr>
      <w:r>
        <w:t xml:space="preserve">h) Having been sanctioned by means of a final decision with the loss of the possibility of obtaining subsidies according to the current legislation on subsidies or the General Tax Law.</w:t>
      </w:r>
    </w:p>
    <w:p w:rsidR="0075617F" w:rsidRDefault="0075617F">
      <w:pPr>
        <w:ind w:left="0" w:hanging="2"/>
        <w:jc w:val="both"/>
      </w:pPr>
    </w:p>
    <w:p w:rsidR="00744DEF" w:rsidRDefault="0075617F" w:rsidP="0075617F">
      <w:pPr>
        <w:ind w:left="0" w:hanging="2"/>
        <w:jc w:val="both"/>
      </w:pPr>
      <w:r>
        <w:t xml:space="preserve">i) That it may be presumed, by reason of the persons who govern them or other circumstances, that they are a continuation or a derivative, by transformation, merger or succession, of other undertakings in which the prohibition on obtaining subsidies has occurred.</w:t>
      </w:r>
    </w:p>
    <w:p w:rsidR="0075617F" w:rsidRDefault="0075617F">
      <w:pPr>
        <w:ind w:left="0" w:hanging="2"/>
        <w:jc w:val="both"/>
      </w:pPr>
    </w:p>
    <w:p w:rsidR="00744DEF" w:rsidRDefault="004C4213">
      <w:pPr>
        <w:ind w:left="0" w:hanging="2"/>
        <w:jc w:val="both"/>
      </w:pPr>
      <w:r>
        <w:t xml:space="preserve">j) Being one of the groups provided for in Article 7.2 of the General Subsidies Ordinance, when any of the above prohibitions apply to any of their members.</w:t>
      </w:r>
      <w:r>
        <w:t xml:space="preserve"> </w:t>
      </w:r>
    </w:p>
    <w:p w:rsidR="00744DEF" w:rsidRDefault="00744DEF">
      <w:pPr>
        <w:ind w:left="0" w:hanging="2"/>
        <w:jc w:val="both"/>
      </w:pPr>
    </w:p>
    <w:p w:rsidR="00744DEF" w:rsidRDefault="004C4213">
      <w:pPr>
        <w:ind w:left="0" w:hanging="2"/>
        <w:jc w:val="both"/>
      </w:pPr>
      <w:r>
        <w:t xml:space="preserve">k) Being an association subject to the causes of prohibition provided for in sections 5 and 6 of art. 4 of Organic Law 1/2002, of 22 March, regulating the right of association.</w:t>
      </w:r>
      <w:r>
        <w:t xml:space="preserve"> </w:t>
      </w:r>
    </w:p>
    <w:p w:rsidR="00744DEF" w:rsidRDefault="00744DEF">
      <w:pPr>
        <w:ind w:left="0" w:hanging="2"/>
        <w:jc w:val="both"/>
      </w:pPr>
    </w:p>
    <w:p w:rsidR="00744DEF" w:rsidRDefault="004C4213">
      <w:pPr>
        <w:ind w:left="0" w:hanging="2"/>
        <w:jc w:val="both"/>
      </w:pPr>
      <w:r>
        <w:t xml:space="preserve">l) Being an association in respect of which the administrative registration procedure has been suspended because there are reasonable indications of criminal unlawfulness, in application of the provisions of art.</w:t>
      </w:r>
      <w:r>
        <w:t xml:space="preserve"> </w:t>
      </w:r>
      <w:r>
        <w:t xml:space="preserve">30.4 of Organic Law 1/2002, of 22 March, regulating the right of association, until such time as a final judicial decision has been handed down by virtue of which registration in the corresponding register can be carried out.</w:t>
      </w:r>
      <w:r>
        <w:t xml:space="preserve"> </w:t>
      </w:r>
    </w:p>
    <w:p w:rsidR="00744DEF" w:rsidRDefault="00744DEF">
      <w:pPr>
        <w:ind w:left="0" w:hanging="2"/>
        <w:jc w:val="both"/>
      </w:pPr>
    </w:p>
    <w:p w:rsidR="00744DEF" w:rsidRDefault="004C4213">
      <w:pPr>
        <w:ind w:left="0" w:hanging="2"/>
        <w:jc w:val="both"/>
      </w:pPr>
      <w:r>
        <w:t xml:space="preserve">m) having been involved in a case provided for in article 11 of Law 11/2016 of 28 July, on equality between Women and Men.</w:t>
      </w:r>
      <w:r>
        <w:t xml:space="preserve">  </w:t>
      </w:r>
    </w:p>
    <w:p w:rsidR="00744DEF" w:rsidRDefault="00744DEF">
      <w:pPr>
        <w:ind w:left="0" w:hanging="2"/>
        <w:jc w:val="both"/>
      </w:pPr>
    </w:p>
    <w:p w:rsidR="00744DEF" w:rsidRDefault="004C4213">
      <w:pPr>
        <w:widowControl w:val="0"/>
        <w:pBdr>
          <w:top w:val="nil"/>
          <w:left w:val="nil"/>
          <w:bottom w:val="nil"/>
          <w:right w:val="nil"/>
          <w:between w:val="nil"/>
        </w:pBdr>
        <w:spacing w:line="240" w:lineRule="auto"/>
        <w:ind w:left="0" w:hanging="2"/>
        <w:rPr>
          <w:color w:val="000000"/>
        </w:rPr>
      </w:pPr>
      <w:r>
        <w:rPr>
          <w:color w:val="000000"/>
        </w:rPr>
        <w:t xml:space="preserve">............................, ...................(day) ..................................... (month) 20...</w:t>
      </w:r>
      <w:r>
        <w:rPr>
          <w:color w:val="000000"/>
        </w:rPr>
        <w:t xml:space="preserve"> </w:t>
      </w:r>
    </w:p>
    <w:p w:rsidR="00744DEF" w:rsidRDefault="004C4213">
      <w:pPr>
        <w:widowControl w:val="0"/>
        <w:pBdr>
          <w:top w:val="nil"/>
          <w:left w:val="nil"/>
          <w:bottom w:val="nil"/>
          <w:right w:val="nil"/>
          <w:between w:val="nil"/>
        </w:pBdr>
        <w:spacing w:line="240" w:lineRule="auto"/>
        <w:ind w:left="0" w:hanging="2"/>
        <w:rPr>
          <w:color w:val="000000"/>
        </w:rPr>
      </w:pPr>
      <w:r>
        <w:rPr>
          <w:i/>
          <w:color w:val="000000"/>
        </w:rPr>
        <w:t xml:space="preserve">(Signature)</w:t>
      </w:r>
      <w:r>
        <w:rPr>
          <w:i/>
          <w:color w:val="000000"/>
        </w:rPr>
        <w:t xml:space="preserve"> </w:t>
      </w:r>
    </w:p>
    <w:sectPr w:rsidR="00744DEF">
      <w:headerReference w:type="default" r:id="rId9"/>
      <w:footerReference w:type="default" r:id="rId10"/>
      <w:pgSz w:w="11906" w:h="16838"/>
      <w:pgMar w:top="1417"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0E" w:rsidRDefault="00B3400E">
      <w:pPr>
        <w:spacing w:line="240" w:lineRule="auto"/>
        <w:ind w:left="0" w:hanging="2"/>
      </w:pPr>
      <w:r>
        <w:separator/>
      </w:r>
    </w:p>
  </w:endnote>
  <w:endnote w:type="continuationSeparator" w:id="0">
    <w:p w:rsidR="00B3400E" w:rsidRDefault="00B340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EF" w:rsidRDefault="004C4213">
    <w:pPr>
      <w:jc w:val="center"/>
      <w:rPr>
        <w:color w:val="000080"/>
        <w:sz w:val="14"/>
        <w:szCs w:val="14"/>
      </w:rPr>
    </w:pPr>
    <w:r>
      <w:rPr>
        <w:color w:val="000080"/>
        <w:sz w:val="14"/>
        <w:szCs w:val="14"/>
      </w:rPr>
      <w:t xml:space="preserve">Fundació Mallorca Turisme – Mallorca Film Commission</w:t>
    </w:r>
  </w:p>
  <w:p w:rsidR="00744DEF" w:rsidRDefault="004C4213">
    <w:pPr>
      <w:jc w:val="center"/>
    </w:pPr>
    <w:r>
      <w:rPr>
        <w:color w:val="000080"/>
        <w:sz w:val="14"/>
        <w:szCs w:val="14"/>
      </w:rPr>
      <w:t xml:space="preserve">4 Plaça de l'Hospital, 2nd floor - 07012 - Palma Tel.:</w:t>
    </w:r>
    <w:r>
      <w:rPr>
        <w:color w:val="000080"/>
        <w:sz w:val="14"/>
        <w:szCs w:val="14"/>
      </w:rPr>
      <w:t xml:space="preserve"> </w:t>
    </w:r>
    <w:r>
      <w:rPr>
        <w:color w:val="000080"/>
        <w:sz w:val="14"/>
        <w:szCs w:val="14"/>
      </w:rPr>
      <w:t xml:space="preserve">+34 971 17 39 88</w:t>
    </w:r>
    <w:r>
      <w:rPr>
        <w:color w:val="000080"/>
        <w:sz w:val="14"/>
        <w:szCs w:val="14"/>
      </w:rPr>
      <w:t xml:space="preserve"> </w:t>
    </w:r>
  </w:p>
  <w:p w:rsidR="00744DEF" w:rsidRDefault="00744DEF">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0E" w:rsidRDefault="00B3400E">
      <w:pPr>
        <w:spacing w:line="240" w:lineRule="auto"/>
        <w:ind w:left="0" w:hanging="2"/>
      </w:pPr>
      <w:r>
        <w:separator/>
      </w:r>
    </w:p>
  </w:footnote>
  <w:footnote w:type="continuationSeparator" w:id="0">
    <w:p w:rsidR="00B3400E" w:rsidRDefault="00B3400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EF" w:rsidRDefault="004C4213">
    <w:pPr>
      <w:pBdr>
        <w:top w:val="nil"/>
        <w:left w:val="nil"/>
        <w:bottom w:val="nil"/>
        <w:right w:val="nil"/>
        <w:between w:val="nil"/>
      </w:pBdr>
      <w:tabs>
        <w:tab w:val="center" w:pos="4252"/>
        <w:tab w:val="right" w:pos="8504"/>
      </w:tabs>
      <w:spacing w:line="240" w:lineRule="auto"/>
      <w:ind w:left="0" w:hanging="2"/>
      <w:jc w:val="right"/>
      <w:rPr>
        <w:color w:val="000000"/>
        <w:sz w:val="18"/>
        <w:szCs w:val="18"/>
      </w:rPr>
    </w:pPr>
    <w:r>
      <w:rPr>
        <w:color w:val="000000"/>
      </w:rPr>
      <w:drawing>
        <wp:inline distT="0" distB="0" distL="114300" distR="114300">
          <wp:extent cx="3982720" cy="44767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82720" cy="447675"/>
                  </a:xfrm>
                  <a:prstGeom prst="rect">
                    <a:avLst/>
                  </a:prstGeom>
                  <a:ln/>
                </pic:spPr>
              </pic:pic>
            </a:graphicData>
          </a:graphic>
        </wp:inline>
      </w:drawing>
    </w:r>
    <w:r>
      <w:rPr>
        <w:color w:val="000000"/>
        <w:sz w:val="18"/>
        <w:szCs w:val="18"/>
      </w:rPr>
      <w:tab/>
      <w:tab/>
      <w:t xml:space="preserve">  </w:t>
    </w:r>
  </w:p>
  <w:p w:rsidR="00744DEF" w:rsidRDefault="00744DEF">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22418"/>
    <w:multiLevelType w:val="hybridMultilevel"/>
    <w:tmpl w:val="14C08C08"/>
    <w:lvl w:ilvl="0" w:tplc="A81A5C5E">
      <w:start w:val="1"/>
      <w:numFmt w:val="lowerRoman"/>
      <w:lvlText w:val="%1)"/>
      <w:lvlJc w:val="left"/>
      <w:pPr>
        <w:ind w:left="718" w:hanging="72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1" w15:restartNumberingAfterBreak="0">
    <w:nsid w:val="7B11178F"/>
    <w:multiLevelType w:val="hybridMultilevel"/>
    <w:tmpl w:val="2FD66EAA"/>
    <w:lvl w:ilvl="0" w:tplc="82BC05A0">
      <w:start w:val="1"/>
      <w:numFmt w:val="lowerRoman"/>
      <w:lvlText w:val="%1)"/>
      <w:lvlJc w:val="left"/>
      <w:pPr>
        <w:ind w:left="718" w:hanging="72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EF"/>
    <w:rsid w:val="001673AE"/>
    <w:rsid w:val="001A5DAE"/>
    <w:rsid w:val="004074CF"/>
    <w:rsid w:val="00491782"/>
    <w:rsid w:val="004C4213"/>
    <w:rsid w:val="00744DEF"/>
    <w:rsid w:val="0075617F"/>
    <w:rsid w:val="007B5282"/>
    <w:rsid w:val="00A703D1"/>
    <w:rsid w:val="00B272AC"/>
    <w:rsid w:val="00B3400E"/>
    <w:rsid w:val="00BD6E83"/>
    <w:rsid w:val="00D82F29"/>
    <w:rsid w:val="00DD77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48F2"/>
  <w15:docId w15:val="{29FA0AEC-0EF3-4326-8702-8D4F9E52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independiente">
    <w:name w:val="Body Text"/>
    <w:basedOn w:val="Normal"/>
    <w:pPr>
      <w:widowControl w:val="0"/>
      <w:autoSpaceDE w:val="0"/>
      <w:autoSpaceDN w:val="0"/>
    </w:pPr>
    <w:rPr>
      <w:rFonts w:ascii="Arial" w:eastAsia="Arial" w:hAnsi="Arial" w:cs="Arial"/>
      <w:sz w:val="20"/>
      <w:szCs w:val="20"/>
      <w:lang w:val="en-GB" w:eastAsia="ca-ES" w:bidi="ca-ES"/>
    </w:rPr>
  </w:style>
  <w:style w:type="character" w:customStyle="1" w:styleId="TextoindependienteCar">
    <w:name w:val="Texto independiente Car"/>
    <w:rPr>
      <w:rFonts w:ascii="Arial" w:eastAsia="Arial" w:hAnsi="Arial" w:cs="Arial"/>
      <w:w w:val="100"/>
      <w:position w:val="-1"/>
      <w:effect w:val="none"/>
      <w:vertAlign w:val="baseline"/>
      <w:cs w:val="0"/>
      <w:em w:val="none"/>
      <w:lang w:val="en-GB" w:eastAsia="ca-ES" w:bidi="ca-ES"/>
    </w:rPr>
  </w:style>
  <w:style w:type="paragraph" w:styleId="NormalWeb">
    <w:name w:val="Normal (Web)"/>
    <w:basedOn w:val="Normal"/>
    <w:qFormat/>
    <w:pPr>
      <w:spacing w:before="100" w:beforeAutospacing="1" w:after="100" w:afterAutospacing="1"/>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56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mallorcafilmcommission.net/bones-practiques-i-green-shoo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5IsSVDvg2t/xBkh6HGU5TCDmiw==">AMUW2mUZklcHVVZqHnDGyHhkGt2nEIrgVLX5/DUmr/tANL1sl8On3ew6xLQHtvoAKIqOBxmeFBxb1sD2GinjiT3gFTUNwaxz8bbABdso3pHWnm9you5StiY=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827</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mccovas</dc:creator>
  <cp:lastModifiedBy>mcamps</cp:lastModifiedBy>
  <cp:revision>10</cp:revision>
  <cp:lastPrinted>2021-06-22T06:27:00Z</cp:lastPrinted>
  <dcterms:created xsi:type="dcterms:W3CDTF">2021-05-24T10:34:00Z</dcterms:created>
  <dcterms:modified xsi:type="dcterms:W3CDTF">2021-06-22T06:28:00Z</dcterms:modified>
</cp:coreProperties>
</file>